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FE" w:rsidRDefault="003509FE" w:rsidP="003509FE">
      <w:pPr>
        <w:rPr>
          <w:rFonts w:ascii="Harrington" w:hAnsi="Harrington"/>
          <w:sz w:val="32"/>
          <w:szCs w:val="32"/>
          <w:lang w:val="en-US"/>
        </w:rPr>
      </w:pPr>
      <w:bookmarkStart w:id="0" w:name="_GoBack"/>
      <w:bookmarkEnd w:id="0"/>
      <w:r>
        <w:rPr>
          <w:rFonts w:ascii="Harrington" w:hAnsi="Harrington"/>
          <w:noProof/>
          <w:sz w:val="32"/>
          <w:szCs w:val="32"/>
          <w:lang w:eastAsia="ko-KR"/>
        </w:rPr>
        <w:drawing>
          <wp:inline distT="0" distB="0" distL="0" distR="0" wp14:anchorId="6199297E" wp14:editId="4BD9AE66">
            <wp:extent cx="2828925" cy="7608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dd.jpg"/>
                    <pic:cNvPicPr/>
                  </pic:nvPicPr>
                  <pic:blipFill>
                    <a:blip r:embed="rId6">
                      <a:extLst>
                        <a:ext uri="{28A0092B-C50C-407E-A947-70E740481C1C}">
                          <a14:useLocalDpi xmlns:a14="http://schemas.microsoft.com/office/drawing/2010/main" val="0"/>
                        </a:ext>
                      </a:extLst>
                    </a:blip>
                    <a:stretch>
                      <a:fillRect/>
                    </a:stretch>
                  </pic:blipFill>
                  <pic:spPr>
                    <a:xfrm>
                      <a:off x="0" y="0"/>
                      <a:ext cx="2834622" cy="762341"/>
                    </a:xfrm>
                    <a:prstGeom prst="rect">
                      <a:avLst/>
                    </a:prstGeom>
                  </pic:spPr>
                </pic:pic>
              </a:graphicData>
            </a:graphic>
          </wp:inline>
        </w:drawing>
      </w:r>
      <w:r>
        <w:rPr>
          <w:rFonts w:ascii="Harrington" w:hAnsi="Harrington"/>
          <w:sz w:val="32"/>
          <w:szCs w:val="32"/>
          <w:lang w:val="en-US"/>
        </w:rPr>
        <w:t xml:space="preserve">                       </w:t>
      </w:r>
      <w:r>
        <w:rPr>
          <w:noProof/>
          <w:color w:val="0000FF"/>
          <w:lang w:eastAsia="ko-KR"/>
        </w:rPr>
        <w:drawing>
          <wp:inline distT="0" distB="0" distL="0" distR="0" wp14:anchorId="373B935E" wp14:editId="039142C3">
            <wp:extent cx="1695450" cy="866718"/>
            <wp:effectExtent l="0" t="0" r="0" b="0"/>
            <wp:docPr id="5" name="irc_mi" descr="http://www.unizwa.edu.om/content_files/a9001940.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izwa.edu.om/content_files/a9001940.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8116" cy="868081"/>
                    </a:xfrm>
                    <a:prstGeom prst="rect">
                      <a:avLst/>
                    </a:prstGeom>
                    <a:noFill/>
                    <a:ln>
                      <a:noFill/>
                    </a:ln>
                  </pic:spPr>
                </pic:pic>
              </a:graphicData>
            </a:graphic>
          </wp:inline>
        </w:drawing>
      </w:r>
      <w:r>
        <w:rPr>
          <w:rFonts w:ascii="Harrington" w:hAnsi="Harrington"/>
          <w:sz w:val="32"/>
          <w:szCs w:val="32"/>
          <w:lang w:val="en-US"/>
        </w:rPr>
        <w:t xml:space="preserve">         </w:t>
      </w:r>
    </w:p>
    <w:p w:rsidR="003468F9" w:rsidRPr="00DE447E" w:rsidRDefault="003468F9">
      <w:pPr>
        <w:rPr>
          <w:sz w:val="28"/>
          <w:szCs w:val="28"/>
        </w:rPr>
      </w:pPr>
    </w:p>
    <w:p w:rsidR="003509FE" w:rsidRDefault="00282BD3" w:rsidP="00C021BD">
      <w:pPr>
        <w:jc w:val="center"/>
        <w:rPr>
          <w:rFonts w:asciiTheme="majorBidi" w:hAnsiTheme="majorBidi" w:cstheme="majorBidi"/>
          <w:sz w:val="28"/>
          <w:szCs w:val="28"/>
        </w:rPr>
      </w:pPr>
      <w:r>
        <w:rPr>
          <w:rFonts w:asciiTheme="majorBidi" w:hAnsiTheme="majorBidi" w:cstheme="majorBidi"/>
          <w:sz w:val="28"/>
          <w:szCs w:val="28"/>
        </w:rPr>
        <w:t>Using Transitional to Improve Writing</w:t>
      </w:r>
    </w:p>
    <w:p w:rsidR="001B32E7" w:rsidRPr="001B32E7" w:rsidRDefault="001B32E7" w:rsidP="001B32E7">
      <w:pPr>
        <w:jc w:val="center"/>
        <w:rPr>
          <w:rFonts w:asciiTheme="majorBidi" w:hAnsiTheme="majorBidi" w:cstheme="majorBidi"/>
          <w:sz w:val="6"/>
          <w:szCs w:val="6"/>
        </w:rPr>
      </w:pPr>
    </w:p>
    <w:p w:rsidR="001B32E7" w:rsidRDefault="00282BD3" w:rsidP="00C021BD">
      <w:pPr>
        <w:rPr>
          <w:rFonts w:asciiTheme="majorBidi" w:hAnsiTheme="majorBidi" w:cstheme="majorBidi"/>
          <w:b/>
          <w:bCs/>
          <w:sz w:val="24"/>
          <w:szCs w:val="24"/>
        </w:rPr>
      </w:pPr>
      <w:r>
        <w:rPr>
          <w:rFonts w:asciiTheme="majorBidi" w:hAnsiTheme="majorBidi" w:cstheme="majorBidi"/>
          <w:b/>
          <w:bCs/>
          <w:sz w:val="24"/>
          <w:szCs w:val="24"/>
        </w:rPr>
        <w:t xml:space="preserve">Transitional words and phrases help in creating valuable links between ideas in your writing and assist the reader to understand the sequence and logic of your essay. Always try to further enrich your writing using multiple </w:t>
      </w:r>
      <w:r w:rsidR="005F3F00">
        <w:rPr>
          <w:rFonts w:asciiTheme="majorBidi" w:hAnsiTheme="majorBidi" w:cstheme="majorBidi"/>
          <w:b/>
          <w:bCs/>
          <w:sz w:val="24"/>
          <w:szCs w:val="24"/>
        </w:rPr>
        <w:t>transitional</w:t>
      </w:r>
      <w:r>
        <w:rPr>
          <w:rFonts w:asciiTheme="majorBidi" w:hAnsiTheme="majorBidi" w:cstheme="majorBidi"/>
          <w:b/>
          <w:bCs/>
          <w:sz w:val="24"/>
          <w:szCs w:val="24"/>
        </w:rPr>
        <w:t xml:space="preserve"> to avoid repetitive language and vocabulary.</w:t>
      </w:r>
    </w:p>
    <w:p w:rsidR="00282BD3" w:rsidRDefault="00282BD3" w:rsidP="00C021BD">
      <w:pPr>
        <w:rPr>
          <w:rFonts w:asciiTheme="majorBidi" w:hAnsiTheme="majorBidi" w:cstheme="majorBidi"/>
          <w:b/>
          <w:bCs/>
          <w:sz w:val="24"/>
          <w:szCs w:val="24"/>
        </w:rPr>
      </w:pPr>
      <w:r>
        <w:rPr>
          <w:rFonts w:asciiTheme="majorBidi" w:hAnsiTheme="majorBidi" w:cstheme="majorBidi"/>
          <w:b/>
          <w:bCs/>
          <w:sz w:val="24"/>
          <w:szCs w:val="24"/>
        </w:rPr>
        <w:t>How and when to use transitional words and phrases:</w:t>
      </w:r>
    </w:p>
    <w:p w:rsidR="00282BD3" w:rsidRDefault="00282BD3" w:rsidP="00282BD3">
      <w:pPr>
        <w:pStyle w:val="ListParagraph"/>
        <w:numPr>
          <w:ilvl w:val="0"/>
          <w:numId w:val="3"/>
        </w:numPr>
        <w:rPr>
          <w:rFonts w:asciiTheme="majorBidi" w:hAnsiTheme="majorBidi" w:cstheme="majorBidi"/>
          <w:b/>
          <w:bCs/>
          <w:sz w:val="24"/>
          <w:szCs w:val="24"/>
        </w:rPr>
      </w:pPr>
      <w:r>
        <w:rPr>
          <w:rFonts w:asciiTheme="majorBidi" w:hAnsiTheme="majorBidi" w:cstheme="majorBidi"/>
          <w:b/>
          <w:bCs/>
          <w:sz w:val="24"/>
          <w:szCs w:val="24"/>
        </w:rPr>
        <w:t>Transitions are used to connect one idea to next idea, sequence, or example</w:t>
      </w:r>
    </w:p>
    <w:p w:rsidR="00282BD3" w:rsidRDefault="00282BD3" w:rsidP="00282BD3">
      <w:pPr>
        <w:pStyle w:val="ListParagraph"/>
        <w:numPr>
          <w:ilvl w:val="0"/>
          <w:numId w:val="3"/>
        </w:numPr>
        <w:rPr>
          <w:rFonts w:asciiTheme="majorBidi" w:hAnsiTheme="majorBidi" w:cstheme="majorBidi"/>
          <w:b/>
          <w:bCs/>
          <w:sz w:val="24"/>
          <w:szCs w:val="24"/>
        </w:rPr>
      </w:pPr>
      <w:r>
        <w:rPr>
          <w:rFonts w:asciiTheme="majorBidi" w:hAnsiTheme="majorBidi" w:cstheme="majorBidi"/>
          <w:b/>
          <w:bCs/>
          <w:sz w:val="24"/>
          <w:szCs w:val="24"/>
        </w:rPr>
        <w:t>Transitions are used to assist the reader’s comprehension and organization of details</w:t>
      </w:r>
    </w:p>
    <w:p w:rsidR="00282BD3" w:rsidRPr="00282BD3" w:rsidRDefault="00282BD3" w:rsidP="00282BD3">
      <w:pPr>
        <w:pStyle w:val="ListParagraph"/>
        <w:numPr>
          <w:ilvl w:val="0"/>
          <w:numId w:val="3"/>
        </w:numPr>
        <w:rPr>
          <w:rFonts w:asciiTheme="majorBidi" w:hAnsiTheme="majorBidi" w:cstheme="majorBidi"/>
          <w:b/>
          <w:bCs/>
          <w:sz w:val="24"/>
          <w:szCs w:val="24"/>
        </w:rPr>
      </w:pPr>
      <w:r>
        <w:rPr>
          <w:rFonts w:asciiTheme="majorBidi" w:hAnsiTheme="majorBidi" w:cstheme="majorBidi"/>
          <w:b/>
          <w:bCs/>
          <w:sz w:val="24"/>
          <w:szCs w:val="24"/>
        </w:rPr>
        <w:t>Transitions indicate a connection between the main idea of the paragraph and supporting ideas</w:t>
      </w:r>
    </w:p>
    <w:p w:rsidR="001B32E7" w:rsidRDefault="001B32E7" w:rsidP="001B32E7">
      <w:pPr>
        <w:rPr>
          <w:rFonts w:asciiTheme="majorBidi" w:hAnsiTheme="majorBidi" w:cstheme="majorBidi"/>
          <w:b/>
          <w:bCs/>
          <w:sz w:val="2"/>
          <w:szCs w:val="2"/>
        </w:rPr>
      </w:pPr>
    </w:p>
    <w:tbl>
      <w:tblPr>
        <w:tblStyle w:val="TableGrid"/>
        <w:tblW w:w="10065" w:type="dxa"/>
        <w:tblInd w:w="-459" w:type="dxa"/>
        <w:tblLook w:val="04A0" w:firstRow="1" w:lastRow="0" w:firstColumn="1" w:lastColumn="0" w:noHBand="0" w:noVBand="1"/>
      </w:tblPr>
      <w:tblGrid>
        <w:gridCol w:w="1701"/>
        <w:gridCol w:w="8364"/>
      </w:tblGrid>
      <w:tr w:rsidR="00282BD3" w:rsidTr="00AC096F">
        <w:tc>
          <w:tcPr>
            <w:tcW w:w="1701" w:type="dxa"/>
          </w:tcPr>
          <w:p w:rsidR="00282BD3" w:rsidRPr="00282BD3" w:rsidRDefault="00282BD3" w:rsidP="00282BD3">
            <w:pPr>
              <w:jc w:val="center"/>
              <w:rPr>
                <w:rFonts w:asciiTheme="majorBidi" w:hAnsiTheme="majorBidi" w:cstheme="majorBidi"/>
                <w:b/>
                <w:bCs/>
                <w:sz w:val="28"/>
                <w:szCs w:val="28"/>
              </w:rPr>
            </w:pPr>
            <w:r w:rsidRPr="00282BD3">
              <w:rPr>
                <w:rFonts w:asciiTheme="majorBidi" w:hAnsiTheme="majorBidi" w:cstheme="majorBidi"/>
                <w:b/>
                <w:bCs/>
                <w:sz w:val="28"/>
                <w:szCs w:val="28"/>
              </w:rPr>
              <w:t>Types of Transitions</w:t>
            </w:r>
          </w:p>
        </w:tc>
        <w:tc>
          <w:tcPr>
            <w:tcW w:w="8364" w:type="dxa"/>
          </w:tcPr>
          <w:p w:rsidR="00282BD3" w:rsidRPr="00282BD3" w:rsidRDefault="00282BD3" w:rsidP="00282BD3">
            <w:pPr>
              <w:jc w:val="center"/>
              <w:rPr>
                <w:rFonts w:asciiTheme="majorBidi" w:hAnsiTheme="majorBidi" w:cstheme="majorBidi"/>
                <w:b/>
                <w:bCs/>
                <w:sz w:val="12"/>
                <w:szCs w:val="12"/>
              </w:rPr>
            </w:pPr>
          </w:p>
          <w:p w:rsidR="00282BD3" w:rsidRPr="00282BD3" w:rsidRDefault="00282BD3" w:rsidP="00282BD3">
            <w:pPr>
              <w:jc w:val="center"/>
              <w:rPr>
                <w:rFonts w:asciiTheme="majorBidi" w:hAnsiTheme="majorBidi" w:cstheme="majorBidi"/>
                <w:b/>
                <w:bCs/>
                <w:sz w:val="28"/>
                <w:szCs w:val="28"/>
              </w:rPr>
            </w:pPr>
            <w:r w:rsidRPr="00282BD3">
              <w:rPr>
                <w:rFonts w:asciiTheme="majorBidi" w:hAnsiTheme="majorBidi" w:cstheme="majorBidi"/>
                <w:b/>
                <w:bCs/>
                <w:sz w:val="28"/>
                <w:szCs w:val="28"/>
              </w:rPr>
              <w:t>Examples of Transitional Tags</w:t>
            </w:r>
          </w:p>
        </w:tc>
      </w:tr>
      <w:tr w:rsidR="00282BD3" w:rsidTr="00AC096F">
        <w:tc>
          <w:tcPr>
            <w:tcW w:w="1701" w:type="dxa"/>
          </w:tcPr>
          <w:p w:rsidR="00282BD3" w:rsidRDefault="00282BD3" w:rsidP="001B32E7">
            <w:pPr>
              <w:rPr>
                <w:rFonts w:asciiTheme="majorBidi" w:hAnsiTheme="majorBidi" w:cstheme="majorBidi"/>
                <w:b/>
                <w:bCs/>
              </w:rPr>
            </w:pPr>
            <w:r>
              <w:rPr>
                <w:rFonts w:asciiTheme="majorBidi" w:hAnsiTheme="majorBidi" w:cstheme="majorBidi"/>
                <w:b/>
                <w:bCs/>
              </w:rPr>
              <w:t>Addition</w:t>
            </w:r>
          </w:p>
        </w:tc>
        <w:tc>
          <w:tcPr>
            <w:tcW w:w="8364" w:type="dxa"/>
          </w:tcPr>
          <w:p w:rsidR="00282BD3" w:rsidRPr="00AC096F" w:rsidRDefault="00AC096F" w:rsidP="001B32E7">
            <w:pPr>
              <w:rPr>
                <w:rFonts w:asciiTheme="majorBidi" w:hAnsiTheme="majorBidi" w:cstheme="majorBidi"/>
              </w:rPr>
            </w:pPr>
            <w:r>
              <w:rPr>
                <w:rFonts w:asciiTheme="majorBidi" w:hAnsiTheme="majorBidi" w:cstheme="majorBidi"/>
              </w:rPr>
              <w:t>a</w:t>
            </w:r>
            <w:r w:rsidRPr="00AC096F">
              <w:rPr>
                <w:rFonts w:asciiTheme="majorBidi" w:hAnsiTheme="majorBidi" w:cstheme="majorBidi"/>
              </w:rPr>
              <w:t>gain, also</w:t>
            </w:r>
            <w:r>
              <w:rPr>
                <w:rFonts w:asciiTheme="majorBidi" w:hAnsiTheme="majorBidi" w:cstheme="majorBidi"/>
              </w:rPr>
              <w:t>, and then, besides, equally important, finally, first, further, furthermore, in addition, in the first place, last, moreover, next, second, still, too, indeed, alternatively, let alone, as a matter of fact, in all honesty</w:t>
            </w:r>
          </w:p>
        </w:tc>
      </w:tr>
      <w:tr w:rsidR="00282BD3" w:rsidTr="00AC096F">
        <w:tc>
          <w:tcPr>
            <w:tcW w:w="1701" w:type="dxa"/>
          </w:tcPr>
          <w:p w:rsidR="00282BD3" w:rsidRDefault="00AC096F" w:rsidP="001B32E7">
            <w:pPr>
              <w:rPr>
                <w:rFonts w:asciiTheme="majorBidi" w:hAnsiTheme="majorBidi" w:cstheme="majorBidi"/>
                <w:b/>
                <w:bCs/>
              </w:rPr>
            </w:pPr>
            <w:r>
              <w:rPr>
                <w:rFonts w:asciiTheme="majorBidi" w:hAnsiTheme="majorBidi" w:cstheme="majorBidi"/>
                <w:b/>
                <w:bCs/>
              </w:rPr>
              <w:t>Comparison</w:t>
            </w:r>
          </w:p>
        </w:tc>
        <w:tc>
          <w:tcPr>
            <w:tcW w:w="8364" w:type="dxa"/>
          </w:tcPr>
          <w:p w:rsidR="00282BD3" w:rsidRPr="00AC096F" w:rsidRDefault="00AC096F" w:rsidP="001B32E7">
            <w:pPr>
              <w:rPr>
                <w:rFonts w:asciiTheme="majorBidi" w:hAnsiTheme="majorBidi" w:cstheme="majorBidi"/>
              </w:rPr>
            </w:pPr>
            <w:r>
              <w:rPr>
                <w:rFonts w:asciiTheme="majorBidi" w:hAnsiTheme="majorBidi" w:cstheme="majorBidi"/>
              </w:rPr>
              <w:t>also, in the same way, likewise, similarly, on the other hand, consequently, by the same token, equally</w:t>
            </w:r>
          </w:p>
        </w:tc>
      </w:tr>
      <w:tr w:rsidR="00282BD3" w:rsidTr="00AC096F">
        <w:tc>
          <w:tcPr>
            <w:tcW w:w="1701" w:type="dxa"/>
          </w:tcPr>
          <w:p w:rsidR="00282BD3" w:rsidRDefault="00AC096F" w:rsidP="001B32E7">
            <w:pPr>
              <w:rPr>
                <w:rFonts w:asciiTheme="majorBidi" w:hAnsiTheme="majorBidi" w:cstheme="majorBidi"/>
                <w:b/>
                <w:bCs/>
              </w:rPr>
            </w:pPr>
            <w:r>
              <w:rPr>
                <w:rFonts w:asciiTheme="majorBidi" w:hAnsiTheme="majorBidi" w:cstheme="majorBidi"/>
                <w:b/>
                <w:bCs/>
              </w:rPr>
              <w:t>Concession</w:t>
            </w:r>
          </w:p>
        </w:tc>
        <w:tc>
          <w:tcPr>
            <w:tcW w:w="8364" w:type="dxa"/>
          </w:tcPr>
          <w:p w:rsidR="00282BD3" w:rsidRPr="00AC096F" w:rsidRDefault="00AC096F" w:rsidP="001B32E7">
            <w:pPr>
              <w:rPr>
                <w:rFonts w:asciiTheme="majorBidi" w:hAnsiTheme="majorBidi" w:cstheme="majorBidi"/>
              </w:rPr>
            </w:pPr>
            <w:r>
              <w:rPr>
                <w:rFonts w:asciiTheme="majorBidi" w:hAnsiTheme="majorBidi" w:cstheme="majorBidi"/>
              </w:rPr>
              <w:t>granted, naturally, of course, but even so, nevertheless, however, nonetheless, in spite of, despite, although, notwithstanding, regardless, admittedly, by the same token, in similar fashion, in like manner</w:t>
            </w:r>
          </w:p>
        </w:tc>
      </w:tr>
      <w:tr w:rsidR="00282BD3" w:rsidTr="00AC096F">
        <w:tc>
          <w:tcPr>
            <w:tcW w:w="1701" w:type="dxa"/>
          </w:tcPr>
          <w:p w:rsidR="00282BD3" w:rsidRDefault="00AC096F" w:rsidP="001B32E7">
            <w:pPr>
              <w:rPr>
                <w:rFonts w:asciiTheme="majorBidi" w:hAnsiTheme="majorBidi" w:cstheme="majorBidi"/>
                <w:b/>
                <w:bCs/>
              </w:rPr>
            </w:pPr>
            <w:r>
              <w:rPr>
                <w:rFonts w:asciiTheme="majorBidi" w:hAnsiTheme="majorBidi" w:cstheme="majorBidi"/>
                <w:b/>
                <w:bCs/>
              </w:rPr>
              <w:t>Contrast</w:t>
            </w:r>
          </w:p>
        </w:tc>
        <w:tc>
          <w:tcPr>
            <w:tcW w:w="8364" w:type="dxa"/>
          </w:tcPr>
          <w:p w:rsidR="00282BD3" w:rsidRPr="00AC096F" w:rsidRDefault="00AC096F" w:rsidP="00AC096F">
            <w:pPr>
              <w:rPr>
                <w:rFonts w:asciiTheme="majorBidi" w:hAnsiTheme="majorBidi" w:cstheme="majorBidi"/>
              </w:rPr>
            </w:pPr>
            <w:r>
              <w:rPr>
                <w:rFonts w:asciiTheme="majorBidi" w:hAnsiTheme="majorBidi" w:cstheme="majorBidi"/>
              </w:rPr>
              <w:t>although, and yet, at the same time, but at the same time, despite that, even so, even though, for all that, however, in contrast, in spite of, instead, nevertheless, notwithstanding, on the contrary, on the other hand, otherwise, regardless, still, though, yet</w:t>
            </w:r>
          </w:p>
        </w:tc>
      </w:tr>
      <w:tr w:rsidR="00282BD3" w:rsidTr="00AC096F">
        <w:tc>
          <w:tcPr>
            <w:tcW w:w="1701" w:type="dxa"/>
          </w:tcPr>
          <w:p w:rsidR="00282BD3" w:rsidRDefault="00AC096F" w:rsidP="001B32E7">
            <w:pPr>
              <w:rPr>
                <w:rFonts w:asciiTheme="majorBidi" w:hAnsiTheme="majorBidi" w:cstheme="majorBidi"/>
                <w:b/>
                <w:bCs/>
              </w:rPr>
            </w:pPr>
            <w:r>
              <w:rPr>
                <w:rFonts w:asciiTheme="majorBidi" w:hAnsiTheme="majorBidi" w:cstheme="majorBidi"/>
                <w:b/>
                <w:bCs/>
              </w:rPr>
              <w:t>Emphasis</w:t>
            </w:r>
          </w:p>
        </w:tc>
        <w:tc>
          <w:tcPr>
            <w:tcW w:w="8364" w:type="dxa"/>
          </w:tcPr>
          <w:p w:rsidR="00282BD3" w:rsidRPr="00AC096F" w:rsidRDefault="00AC096F" w:rsidP="001B32E7">
            <w:pPr>
              <w:rPr>
                <w:rFonts w:asciiTheme="majorBidi" w:hAnsiTheme="majorBidi" w:cstheme="majorBidi"/>
              </w:rPr>
            </w:pPr>
            <w:r>
              <w:rPr>
                <w:rFonts w:asciiTheme="majorBidi" w:hAnsiTheme="majorBidi" w:cstheme="majorBidi"/>
              </w:rPr>
              <w:t>certainly, indeed, in fact, of course, even more, above all, more importantly, with a doubt, surely, by all means, undoubtedly</w:t>
            </w:r>
          </w:p>
        </w:tc>
      </w:tr>
      <w:tr w:rsidR="00282BD3" w:rsidTr="00AC096F">
        <w:tc>
          <w:tcPr>
            <w:tcW w:w="1701" w:type="dxa"/>
          </w:tcPr>
          <w:p w:rsidR="00282BD3" w:rsidRDefault="00AC096F" w:rsidP="001B32E7">
            <w:pPr>
              <w:rPr>
                <w:rFonts w:asciiTheme="majorBidi" w:hAnsiTheme="majorBidi" w:cstheme="majorBidi"/>
                <w:b/>
                <w:bCs/>
              </w:rPr>
            </w:pPr>
            <w:r>
              <w:rPr>
                <w:rFonts w:asciiTheme="majorBidi" w:hAnsiTheme="majorBidi" w:cstheme="majorBidi"/>
                <w:b/>
                <w:bCs/>
              </w:rPr>
              <w:t>Example or Illustration</w:t>
            </w:r>
          </w:p>
        </w:tc>
        <w:tc>
          <w:tcPr>
            <w:tcW w:w="8364" w:type="dxa"/>
          </w:tcPr>
          <w:p w:rsidR="00282BD3" w:rsidRPr="00AC096F" w:rsidRDefault="00AC096F" w:rsidP="001B32E7">
            <w:pPr>
              <w:rPr>
                <w:rFonts w:asciiTheme="majorBidi" w:hAnsiTheme="majorBidi" w:cstheme="majorBidi"/>
              </w:rPr>
            </w:pPr>
            <w:r>
              <w:rPr>
                <w:rFonts w:asciiTheme="majorBidi" w:hAnsiTheme="majorBidi" w:cstheme="majorBidi"/>
              </w:rPr>
              <w:t>after all, as an illustration, even, for example, for instance, in conclusion, indeed, in fact, in other words, in short, it is true, of course, namely, specifically, that is, to illustrate, thus, truly, to demonstrate</w:t>
            </w:r>
          </w:p>
        </w:tc>
      </w:tr>
      <w:tr w:rsidR="00282BD3" w:rsidTr="00AC096F">
        <w:tc>
          <w:tcPr>
            <w:tcW w:w="1701" w:type="dxa"/>
          </w:tcPr>
          <w:p w:rsidR="00282BD3" w:rsidRDefault="00AC096F" w:rsidP="001B32E7">
            <w:pPr>
              <w:rPr>
                <w:rFonts w:asciiTheme="majorBidi" w:hAnsiTheme="majorBidi" w:cstheme="majorBidi"/>
                <w:b/>
                <w:bCs/>
              </w:rPr>
            </w:pPr>
            <w:r>
              <w:rPr>
                <w:rFonts w:asciiTheme="majorBidi" w:hAnsiTheme="majorBidi" w:cstheme="majorBidi"/>
                <w:b/>
                <w:bCs/>
              </w:rPr>
              <w:t>Summary</w:t>
            </w:r>
          </w:p>
        </w:tc>
        <w:tc>
          <w:tcPr>
            <w:tcW w:w="8364" w:type="dxa"/>
          </w:tcPr>
          <w:p w:rsidR="00282BD3" w:rsidRPr="00AC096F" w:rsidRDefault="005F3F00" w:rsidP="001B32E7">
            <w:pPr>
              <w:rPr>
                <w:rFonts w:asciiTheme="majorBidi" w:hAnsiTheme="majorBidi" w:cstheme="majorBidi"/>
              </w:rPr>
            </w:pPr>
            <w:r>
              <w:rPr>
                <w:rFonts w:asciiTheme="majorBidi" w:hAnsiTheme="majorBidi" w:cstheme="majorBidi"/>
              </w:rPr>
              <w:t>a</w:t>
            </w:r>
            <w:r w:rsidR="00AC096F">
              <w:rPr>
                <w:rFonts w:asciiTheme="majorBidi" w:hAnsiTheme="majorBidi" w:cstheme="majorBidi"/>
              </w:rPr>
              <w:t>ll in all, all together, as has been said, finally, in brief, in conclusion, in other words, in particular, in short, in simple terms, in summary, on the whole, that is, therefore, to put it differently, to summarize, to conclude, as a final point, in the end, at last, lastly, given these points, to put it briefly, hence, on the whole, to be brief, in a word</w:t>
            </w:r>
            <w:r>
              <w:rPr>
                <w:rFonts w:asciiTheme="majorBidi" w:hAnsiTheme="majorBidi" w:cstheme="majorBidi"/>
              </w:rPr>
              <w:t>, to sum up</w:t>
            </w:r>
          </w:p>
        </w:tc>
      </w:tr>
      <w:tr w:rsidR="00AC096F" w:rsidTr="00AC096F">
        <w:tc>
          <w:tcPr>
            <w:tcW w:w="1701" w:type="dxa"/>
          </w:tcPr>
          <w:p w:rsidR="00AC096F" w:rsidRDefault="00AC096F" w:rsidP="001B32E7">
            <w:pPr>
              <w:rPr>
                <w:rFonts w:asciiTheme="majorBidi" w:hAnsiTheme="majorBidi" w:cstheme="majorBidi"/>
                <w:b/>
                <w:bCs/>
              </w:rPr>
            </w:pPr>
            <w:r>
              <w:rPr>
                <w:rFonts w:asciiTheme="majorBidi" w:hAnsiTheme="majorBidi" w:cstheme="majorBidi"/>
                <w:b/>
                <w:bCs/>
              </w:rPr>
              <w:t>Time Sequence</w:t>
            </w:r>
          </w:p>
        </w:tc>
        <w:tc>
          <w:tcPr>
            <w:tcW w:w="8364" w:type="dxa"/>
          </w:tcPr>
          <w:p w:rsidR="00AC096F" w:rsidRPr="00AC096F" w:rsidRDefault="005F3F00" w:rsidP="001B32E7">
            <w:pPr>
              <w:rPr>
                <w:rFonts w:asciiTheme="majorBidi" w:hAnsiTheme="majorBidi" w:cstheme="majorBidi"/>
              </w:rPr>
            </w:pPr>
            <w:r>
              <w:rPr>
                <w:rFonts w:asciiTheme="majorBidi" w:hAnsiTheme="majorBidi" w:cstheme="majorBidi"/>
              </w:rPr>
              <w:t>after a while, afterward, again, also, and then, as long as, at last, at length, at that time, before, besides, earlier, eventually, finally, formerly, further, furthermore, in addition, in the first place, in the past, last, lately, meanwhile, moreover, next, now, presently, second, shortly, simultaneously, since, so far, soon, still, subsequently, then, thereafter, too, until,  until now, when, subsequently, following</w:t>
            </w:r>
          </w:p>
        </w:tc>
      </w:tr>
    </w:tbl>
    <w:p w:rsidR="00282BD3" w:rsidRPr="00282BD3" w:rsidRDefault="00282BD3" w:rsidP="001B32E7">
      <w:pPr>
        <w:rPr>
          <w:rFonts w:asciiTheme="majorBidi" w:hAnsiTheme="majorBidi" w:cstheme="majorBidi"/>
          <w:b/>
          <w:bCs/>
        </w:rPr>
      </w:pPr>
    </w:p>
    <w:sectPr w:rsidR="00282BD3" w:rsidRPr="00282BD3" w:rsidSect="00EE5182">
      <w:pgSz w:w="11906" w:h="16838"/>
      <w:pgMar w:top="567"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35D6"/>
    <w:multiLevelType w:val="hybridMultilevel"/>
    <w:tmpl w:val="36CC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67E64"/>
    <w:multiLevelType w:val="hybridMultilevel"/>
    <w:tmpl w:val="1F4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7679BF"/>
    <w:multiLevelType w:val="hybridMultilevel"/>
    <w:tmpl w:val="BC1A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FE"/>
    <w:rsid w:val="001B32E7"/>
    <w:rsid w:val="00282BD3"/>
    <w:rsid w:val="002B06FF"/>
    <w:rsid w:val="003468F9"/>
    <w:rsid w:val="003509FE"/>
    <w:rsid w:val="005F3F00"/>
    <w:rsid w:val="00AC096F"/>
    <w:rsid w:val="00C021BD"/>
    <w:rsid w:val="00DE447E"/>
    <w:rsid w:val="00DF61CD"/>
    <w:rsid w:val="00EE518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F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FE"/>
    <w:rPr>
      <w:rFonts w:ascii="Tahoma" w:eastAsiaTheme="minorHAnsi" w:hAnsi="Tahoma" w:cs="Tahoma"/>
      <w:sz w:val="16"/>
      <w:szCs w:val="16"/>
      <w:lang w:eastAsia="en-US"/>
    </w:rPr>
  </w:style>
  <w:style w:type="paragraph" w:styleId="ListParagraph">
    <w:name w:val="List Paragraph"/>
    <w:basedOn w:val="Normal"/>
    <w:uiPriority w:val="34"/>
    <w:qFormat/>
    <w:rsid w:val="003509FE"/>
    <w:pPr>
      <w:ind w:left="720"/>
      <w:contextualSpacing/>
    </w:pPr>
  </w:style>
  <w:style w:type="table" w:styleId="TableGrid">
    <w:name w:val="Table Grid"/>
    <w:basedOn w:val="TableNormal"/>
    <w:uiPriority w:val="59"/>
    <w:rsid w:val="00282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F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FE"/>
    <w:rPr>
      <w:rFonts w:ascii="Tahoma" w:eastAsiaTheme="minorHAnsi" w:hAnsi="Tahoma" w:cs="Tahoma"/>
      <w:sz w:val="16"/>
      <w:szCs w:val="16"/>
      <w:lang w:eastAsia="en-US"/>
    </w:rPr>
  </w:style>
  <w:style w:type="paragraph" w:styleId="ListParagraph">
    <w:name w:val="List Paragraph"/>
    <w:basedOn w:val="Normal"/>
    <w:uiPriority w:val="34"/>
    <w:qFormat/>
    <w:rsid w:val="003509FE"/>
    <w:pPr>
      <w:ind w:left="720"/>
      <w:contextualSpacing/>
    </w:pPr>
  </w:style>
  <w:style w:type="table" w:styleId="TableGrid">
    <w:name w:val="Table Grid"/>
    <w:basedOn w:val="TableNormal"/>
    <w:uiPriority w:val="59"/>
    <w:rsid w:val="00282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google.com/url?sa=i&amp;rct=j&amp;q=&amp;esrc=s&amp;frm=1&amp;source=images&amp;cd=&amp;cad=rja&amp;uact=8&amp;ved=0CAcQjRw&amp;url=http://www.unizwa.edu.om/index.php?contentid=940&amp;ei=v8xaVY_yH8f8UKmagKAG&amp;bvm=bv.93564037,d.d24&amp;psig=AFQjCNG1LOw25QMDp18fm-zT0exZxEvpJA&amp;ust=14321004111203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KYE SUK JANG</dc:creator>
  <cp:lastModifiedBy>KYE SUK JANG</cp:lastModifiedBy>
  <cp:revision>2</cp:revision>
  <dcterms:created xsi:type="dcterms:W3CDTF">2017-12-12T06:47:00Z</dcterms:created>
  <dcterms:modified xsi:type="dcterms:W3CDTF">2017-12-12T06:47:00Z</dcterms:modified>
</cp:coreProperties>
</file>